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nqnvxbplxbgw" w:id="0"/>
      <w:bookmarkEnd w:id="0"/>
      <w:r w:rsidDel="00000000" w:rsidR="00000000" w:rsidRPr="00000000">
        <w:rPr>
          <w:rtl w:val="0"/>
        </w:rPr>
        <w:t xml:space="preserve">119/123 Sp26 Lab 6: Tones</w:t>
      </w:r>
    </w:p>
    <w:p w:rsidR="00000000" w:rsidDel="00000000" w:rsidP="00000000" w:rsidRDefault="00000000" w:rsidRPr="00000000" w14:paraId="00000002">
      <w:pPr>
        <w:pStyle w:val="Heading1"/>
        <w:spacing w:line="240" w:lineRule="auto"/>
        <w:rPr/>
      </w:pPr>
      <w:bookmarkStart w:colFirst="0" w:colLast="0" w:name="_h9v2wzxc1cpo" w:id="1"/>
      <w:bookmarkEnd w:id="1"/>
      <w:r w:rsidDel="00000000" w:rsidR="00000000" w:rsidRPr="00000000">
        <w:rPr>
          <w:rtl w:val="0"/>
        </w:rPr>
        <w:t xml:space="preserve">Learning goals</w:t>
      </w:r>
    </w:p>
    <w:p w:rsidR="00000000" w:rsidDel="00000000" w:rsidP="00000000" w:rsidRDefault="00000000" w:rsidRPr="00000000" w14:paraId="00000003">
      <w:pPr>
        <w:rPr/>
      </w:pPr>
      <w:r w:rsidDel="00000000" w:rsidR="00000000" w:rsidRPr="00000000">
        <w:rPr>
          <w:rtl w:val="0"/>
        </w:rPr>
        <w:t xml:space="preserve">By the end of this session, students will be able to:</w:t>
      </w:r>
    </w:p>
    <w:p w:rsidR="00000000" w:rsidDel="00000000" w:rsidP="00000000" w:rsidRDefault="00000000" w:rsidRPr="00000000" w14:paraId="00000004">
      <w:pPr>
        <w:numPr>
          <w:ilvl w:val="0"/>
          <w:numId w:val="3"/>
        </w:numPr>
        <w:ind w:left="360"/>
      </w:pPr>
      <w:r w:rsidDel="00000000" w:rsidR="00000000" w:rsidRPr="00000000">
        <w:rPr>
          <w:rtl w:val="0"/>
        </w:rPr>
        <w:t xml:space="preserve">Decide which data to collect, including which variables to vary, which variables to control, and which variables to measure</w:t>
      </w:r>
    </w:p>
    <w:p w:rsidR="00000000" w:rsidDel="00000000" w:rsidP="00000000" w:rsidRDefault="00000000" w:rsidRPr="00000000" w14:paraId="00000005">
      <w:pPr>
        <w:numPr>
          <w:ilvl w:val="0"/>
          <w:numId w:val="3"/>
        </w:numPr>
        <w:ind w:left="360"/>
      </w:pPr>
      <w:r w:rsidDel="00000000" w:rsidR="00000000" w:rsidRPr="00000000">
        <w:rPr>
          <w:rtl w:val="0"/>
        </w:rPr>
        <w:t xml:space="preserve">Decide how to use equipment to make measurements including the amount of data to collect to obtain desirable uncertainty in measured values</w:t>
      </w:r>
    </w:p>
    <w:p w:rsidR="00000000" w:rsidDel="00000000" w:rsidP="00000000" w:rsidRDefault="00000000" w:rsidRPr="00000000" w14:paraId="00000006">
      <w:pPr>
        <w:numPr>
          <w:ilvl w:val="0"/>
          <w:numId w:val="3"/>
        </w:numPr>
        <w:ind w:left="360"/>
      </w:pPr>
      <w:r w:rsidDel="00000000" w:rsidR="00000000" w:rsidRPr="00000000">
        <w:rPr>
          <w:rtl w:val="0"/>
        </w:rPr>
        <w:t xml:space="preserve">Reflect throughout the process by plotting as data are collected and evaluating the methods and data </w:t>
      </w:r>
    </w:p>
    <w:p w:rsidR="00000000" w:rsidDel="00000000" w:rsidP="00000000" w:rsidRDefault="00000000" w:rsidRPr="00000000" w14:paraId="00000007">
      <w:pPr>
        <w:numPr>
          <w:ilvl w:val="0"/>
          <w:numId w:val="3"/>
        </w:numPr>
        <w:ind w:left="360"/>
      </w:pPr>
      <w:r w:rsidDel="00000000" w:rsidR="00000000" w:rsidRPr="00000000">
        <w:rPr>
          <w:rtl w:val="0"/>
        </w:rPr>
        <w:t xml:space="preserve">Draw inferences from analyses conducted</w:t>
      </w:r>
    </w:p>
    <w:p w:rsidR="00000000" w:rsidDel="00000000" w:rsidP="00000000" w:rsidRDefault="00000000" w:rsidRPr="00000000" w14:paraId="00000008">
      <w:pPr>
        <w:numPr>
          <w:ilvl w:val="0"/>
          <w:numId w:val="3"/>
        </w:numPr>
        <w:ind w:left="360"/>
      </w:pPr>
      <w:r w:rsidDel="00000000" w:rsidR="00000000" w:rsidRPr="00000000">
        <w:rPr>
          <w:rtl w:val="0"/>
        </w:rPr>
        <w:t xml:space="preserve">Present conclusions, claims, and outcomes as arguments that are supported by and follow coherently from experimental data</w:t>
      </w:r>
    </w:p>
    <w:p w:rsidR="00000000" w:rsidDel="00000000" w:rsidP="00000000" w:rsidRDefault="00000000" w:rsidRPr="00000000" w14:paraId="00000009">
      <w:pPr>
        <w:pStyle w:val="Heading1"/>
        <w:spacing w:line="240" w:lineRule="auto"/>
        <w:rPr/>
      </w:pPr>
      <w:bookmarkStart w:colFirst="0" w:colLast="0" w:name="_sm1ah7xi1c5z" w:id="2"/>
      <w:bookmarkEnd w:id="2"/>
      <w:r w:rsidDel="00000000" w:rsidR="00000000" w:rsidRPr="00000000">
        <w:rPr>
          <w:rtl w:val="0"/>
        </w:rPr>
        <w:t xml:space="preserve">Equipment</w:t>
      </w:r>
    </w:p>
    <w:p w:rsidR="00000000" w:rsidDel="00000000" w:rsidP="00000000" w:rsidRDefault="00000000" w:rsidRPr="00000000" w14:paraId="0000000A">
      <w:pPr>
        <w:rPr/>
      </w:pPr>
      <w:r w:rsidDel="00000000" w:rsidR="00000000" w:rsidRPr="00000000">
        <w:rPr>
          <w:rtl w:val="0"/>
        </w:rPr>
        <w:t xml:space="preserve">Cardboard poster tubes, cut to a variety of lengths, with removable end caps</w:t>
      </w:r>
    </w:p>
    <w:p w:rsidR="00000000" w:rsidDel="00000000" w:rsidP="00000000" w:rsidRDefault="00000000" w:rsidRPr="00000000" w14:paraId="0000000B">
      <w:pPr>
        <w:rPr/>
      </w:pPr>
      <w:r w:rsidDel="00000000" w:rsidR="00000000" w:rsidRPr="00000000">
        <w:rPr>
          <w:rtl w:val="0"/>
        </w:rPr>
        <w:t xml:space="preserve">and/or various tuning forks</w:t>
      </w:r>
    </w:p>
    <w:p w:rsidR="00000000" w:rsidDel="00000000" w:rsidP="00000000" w:rsidRDefault="00000000" w:rsidRPr="00000000" w14:paraId="0000000C">
      <w:pPr>
        <w:rPr/>
      </w:pPr>
      <w:r w:rsidDel="00000000" w:rsidR="00000000" w:rsidRPr="00000000">
        <w:rPr>
          <w:rtl w:val="0"/>
        </w:rPr>
        <w:t xml:space="preserve">and/or glass or plastic bottles of various sizes (wine bottles, soda bottles) + access to water</w:t>
      </w:r>
    </w:p>
    <w:p w:rsidR="00000000" w:rsidDel="00000000" w:rsidP="00000000" w:rsidRDefault="00000000" w:rsidRPr="00000000" w14:paraId="0000000D">
      <w:pPr>
        <w:rPr/>
      </w:pPr>
      <w:r w:rsidDel="00000000" w:rsidR="00000000" w:rsidRPr="00000000">
        <w:rPr>
          <w:rtl w:val="0"/>
        </w:rPr>
        <w:t xml:space="preserve">Lab microphone that connects to software with fourier transform capability</w:t>
      </w:r>
    </w:p>
    <w:p w:rsidR="00000000" w:rsidDel="00000000" w:rsidP="00000000" w:rsidRDefault="00000000" w:rsidRPr="00000000" w14:paraId="0000000E">
      <w:pPr>
        <w:pStyle w:val="Heading1"/>
        <w:spacing w:line="240" w:lineRule="auto"/>
        <w:rPr/>
      </w:pPr>
      <w:bookmarkStart w:colFirst="0" w:colLast="0" w:name="_ccjnf9vz568r" w:id="3"/>
      <w:bookmarkEnd w:id="3"/>
      <w:r w:rsidDel="00000000" w:rsidR="00000000" w:rsidRPr="00000000">
        <w:rPr>
          <w:rtl w:val="0"/>
        </w:rPr>
        <w:t xml:space="preserve">Lab class slides</w:t>
      </w:r>
    </w:p>
    <w:p w:rsidR="00000000" w:rsidDel="00000000" w:rsidP="00000000" w:rsidRDefault="00000000" w:rsidRPr="00000000" w14:paraId="0000000F">
      <w:pPr>
        <w:rPr/>
      </w:pPr>
      <w:hyperlink r:id="rId6">
        <w:r w:rsidDel="00000000" w:rsidR="00000000" w:rsidRPr="00000000">
          <w:rPr>
            <w:color w:val="0000ee"/>
            <w:u w:val="single"/>
            <w:rtl w:val="0"/>
          </w:rPr>
          <w:t xml:space="preserve">Sp26 Lab 6 Tones - Sample</w:t>
        </w:r>
      </w:hyperlink>
      <w:r w:rsidDel="00000000" w:rsidR="00000000" w:rsidRPr="00000000">
        <w:rPr>
          <w:rtl w:val="0"/>
        </w:rPr>
      </w:r>
    </w:p>
    <w:p w:rsidR="00000000" w:rsidDel="00000000" w:rsidP="00000000" w:rsidRDefault="00000000" w:rsidRPr="00000000" w14:paraId="00000010">
      <w:pPr>
        <w:rPr>
          <w:highlight w:val="yellow"/>
        </w:rPr>
      </w:pPr>
      <w:r w:rsidDel="00000000" w:rsidR="00000000" w:rsidRPr="00000000">
        <w:rPr>
          <w:highlight w:val="yellow"/>
          <w:rtl w:val="0"/>
        </w:rPr>
        <w:t xml:space="preserve">For next time, add material to support turning a poor research question into a better one, since that’s what they need to do</w:t>
      </w:r>
    </w:p>
    <w:p w:rsidR="00000000" w:rsidDel="00000000" w:rsidP="00000000" w:rsidRDefault="00000000" w:rsidRPr="00000000" w14:paraId="00000011">
      <w:pPr>
        <w:pStyle w:val="Heading1"/>
        <w:spacing w:line="240" w:lineRule="auto"/>
        <w:rPr/>
      </w:pPr>
      <w:bookmarkStart w:colFirst="0" w:colLast="0" w:name="_g2d8whl97p6s" w:id="4"/>
      <w:bookmarkEnd w:id="4"/>
      <w:r w:rsidDel="00000000" w:rsidR="00000000" w:rsidRPr="00000000">
        <w:rPr>
          <w:rtl w:val="0"/>
        </w:rPr>
        <w:t xml:space="preserve">In-lab questions</w:t>
      </w:r>
    </w:p>
    <w:p w:rsidR="00000000" w:rsidDel="00000000" w:rsidP="00000000" w:rsidRDefault="00000000" w:rsidRPr="00000000" w14:paraId="00000012">
      <w:pPr>
        <w:rPr/>
      </w:pPr>
      <w:hyperlink r:id="rId7">
        <w:r w:rsidDel="00000000" w:rsidR="00000000" w:rsidRPr="00000000">
          <w:rPr>
            <w:color w:val="0000ee"/>
            <w:u w:val="single"/>
            <w:rtl w:val="0"/>
          </w:rPr>
          <w:t xml:space="preserve">Lab 6 Tones - Research questions</w:t>
        </w:r>
      </w:hyperlink>
      <w:r w:rsidDel="00000000" w:rsidR="00000000" w:rsidRPr="00000000">
        <w:rPr>
          <w:rtl w:val="0"/>
        </w:rPr>
      </w:r>
    </w:p>
    <w:p w:rsidR="00000000" w:rsidDel="00000000" w:rsidP="00000000" w:rsidRDefault="00000000" w:rsidRPr="00000000" w14:paraId="00000013">
      <w:pPr>
        <w:rPr>
          <w:rFonts w:ascii="Roboto" w:cs="Roboto" w:eastAsia="Roboto" w:hAnsi="Roboto"/>
          <w:color w:val="444746"/>
          <w:sz w:val="21"/>
          <w:szCs w:val="21"/>
          <w:highlight w:val="white"/>
        </w:rPr>
      </w:pPr>
      <w:hyperlink r:id="rId8">
        <w:r w:rsidDel="00000000" w:rsidR="00000000" w:rsidRPr="00000000">
          <w:rPr>
            <w:color w:val="1155cc"/>
            <w:u w:val="single"/>
            <w:rtl w:val="0"/>
          </w:rPr>
          <w:t xml:space="preserve">Microphone manual</w:t>
        </w:r>
      </w:hyperlink>
      <w:r w:rsidDel="00000000" w:rsidR="00000000" w:rsidRPr="00000000">
        <w:rPr>
          <w:rtl w:val="0"/>
        </w:rPr>
      </w:r>
    </w:p>
    <w:p w:rsidR="00000000" w:rsidDel="00000000" w:rsidP="00000000" w:rsidRDefault="00000000" w:rsidRPr="00000000" w14:paraId="00000014">
      <w:pPr>
        <w:pStyle w:val="Heading1"/>
        <w:rPr/>
      </w:pPr>
      <w:bookmarkStart w:colFirst="0" w:colLast="0" w:name="_6w9tisad6vr7" w:id="5"/>
      <w:bookmarkEnd w:id="5"/>
      <w:r w:rsidDel="00000000" w:rsidR="00000000" w:rsidRPr="00000000">
        <w:rPr>
          <w:rtl w:val="0"/>
        </w:rPr>
        <w:t xml:space="preserve">Lab notes - scoring rubric</w:t>
      </w:r>
    </w:p>
    <w:tbl>
      <w:tblPr>
        <w:tblStyle w:val="Table1"/>
        <w:tblW w:w="928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7545"/>
        <w:tblGridChange w:id="0">
          <w:tblGrid>
            <w:gridCol w:w="1740"/>
            <w:gridCol w:w="7545"/>
          </w:tblGrid>
        </w:tblGridChange>
      </w:tblGrid>
      <w:tr>
        <w:trPr>
          <w:cantSplit w:val="0"/>
          <w:trHeight w:val="680" w:hRule="atLeast"/>
          <w:tblHeader w:val="0"/>
        </w:trPr>
        <w:tc>
          <w:tcPr>
            <w:tcBorders>
              <w:top w:color="bfbfbf" w:space="0" w:sz="6" w:val="single"/>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Methods</w:t>
            </w:r>
          </w:p>
        </w:tc>
        <w:tc>
          <w:tcPr>
            <w:tcBorders>
              <w:top w:color="bfbfbf" w:space="0" w:sz="6" w:val="single"/>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Data collection is described clearly and completely, including which objects are tested, how tones are measured, how uncertainties are measured and minimized, and how each group member contributes.</w:t>
            </w:r>
          </w:p>
        </w:tc>
      </w:tr>
      <w:tr>
        <w:trPr>
          <w:cantSplit w:val="0"/>
          <w:trHeight w:val="920" w:hRule="atLeast"/>
          <w:tblHeader w:val="0"/>
        </w:trPr>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Analysis</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Analyses are described clearly and completely, so that an outsider could reproduce them.</w:t>
            </w:r>
          </w:p>
        </w:tc>
      </w:tr>
      <w:tr>
        <w:trPr>
          <w:cantSplit w:val="0"/>
          <w:trHeight w:val="920" w:hRule="atLeast"/>
          <w:tblHeader w:val="0"/>
        </w:trPr>
        <w:tc>
          <w:tcPr>
            <w:tcBorders>
              <w:top w:color="000000" w:space="0" w:sz="0" w:val="nil"/>
              <w:left w:color="bfbfbf" w:space="0" w:sz="6" w:val="single"/>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Results and conclusions</w:t>
            </w:r>
          </w:p>
        </w:tc>
        <w:tc>
          <w:tcPr>
            <w:tcBorders>
              <w:top w:color="000000" w:space="0" w:sz="0" w:val="nil"/>
              <w:left w:color="000000" w:space="0" w:sz="0" w:val="nil"/>
              <w:bottom w:color="bfbfbf" w:space="0" w:sz="6" w:val="single"/>
              <w:right w:color="bfbfbf" w:space="0" w:sz="6" w:val="single"/>
            </w:tcBorders>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Analyses are interpreted using appropriate argumentation practices to reach sound conclusions. Findings are communicated convincingly.</w:t>
            </w:r>
          </w:p>
        </w:tc>
      </w:tr>
      <w:tr>
        <w:trPr>
          <w:cantSplit w:val="0"/>
          <w:trHeight w:val="920" w:hRule="atLeast"/>
          <w:tblHeader w:val="0"/>
        </w:trPr>
        <w:tc>
          <w:tcPr>
            <w:tcBorders>
              <w:top w:color="000000" w:space="0" w:sz="0" w:val="nil"/>
              <w:left w:color="bfbfbf" w:space="0" w:sz="8" w:val="single"/>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Scientific integrity</w:t>
            </w:r>
          </w:p>
        </w:tc>
        <w:tc>
          <w:tcPr>
            <w:tcBorders>
              <w:top w:color="000000" w:space="0" w:sz="0" w:val="nil"/>
              <w:left w:color="000000" w:space="0" w:sz="0" w:val="nil"/>
              <w:bottom w:color="bfbfbf" w:space="0" w:sz="8" w:val="single"/>
              <w:right w:color="bfbfbf" w:space="0" w:sz="8" w:val="single"/>
            </w:tcBorders>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Multiple practical strategies for mitigating bias are carried out. Awareness of scientific integrity concerns is demonstrated.</w:t>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1"/>
        <w:spacing w:line="240" w:lineRule="auto"/>
        <w:rPr/>
      </w:pPr>
      <w:bookmarkStart w:colFirst="0" w:colLast="0" w:name="_p22bvbye5d5g" w:id="6"/>
      <w:bookmarkEnd w:id="6"/>
      <w:r w:rsidDel="00000000" w:rsidR="00000000" w:rsidRPr="00000000">
        <w:rPr>
          <w:rtl w:val="0"/>
        </w:rPr>
        <w:t xml:space="preserve">Lab followup questions</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In a previous week you drafted research questions to potentially investigate in the final weeks of this quarter. Revise those research questions or write a new one to better fit the criteria for good research questions that were discussed in lab:</w:t>
      </w:r>
    </w:p>
    <w:p w:rsidR="00000000" w:rsidDel="00000000" w:rsidP="00000000" w:rsidRDefault="00000000" w:rsidRPr="00000000" w14:paraId="00000020">
      <w:pPr>
        <w:numPr>
          <w:ilvl w:val="0"/>
          <w:numId w:val="5"/>
        </w:numPr>
        <w:ind w:left="720" w:hanging="360"/>
      </w:pPr>
      <w:r w:rsidDel="00000000" w:rsidR="00000000" w:rsidRPr="00000000">
        <w:rPr>
          <w:rtl w:val="0"/>
        </w:rPr>
        <w:t xml:space="preserve">Answerable: is a question, uses well-defined terms</w:t>
      </w:r>
    </w:p>
    <w:p w:rsidR="00000000" w:rsidDel="00000000" w:rsidP="00000000" w:rsidRDefault="00000000" w:rsidRPr="00000000" w14:paraId="00000021">
      <w:pPr>
        <w:numPr>
          <w:ilvl w:val="0"/>
          <w:numId w:val="5"/>
        </w:numPr>
        <w:ind w:left="720" w:hanging="360"/>
      </w:pPr>
      <w:r w:rsidDel="00000000" w:rsidR="00000000" w:rsidRPr="00000000">
        <w:rPr>
          <w:rtl w:val="0"/>
        </w:rPr>
        <w:t xml:space="preserve">Multiple possible believable answers, so you learn; not an answer you already know, probably not yes/no</w:t>
      </w:r>
    </w:p>
    <w:p w:rsidR="00000000" w:rsidDel="00000000" w:rsidP="00000000" w:rsidRDefault="00000000" w:rsidRPr="00000000" w14:paraId="00000022">
      <w:pPr>
        <w:numPr>
          <w:ilvl w:val="0"/>
          <w:numId w:val="5"/>
        </w:numPr>
        <w:ind w:left="720" w:hanging="360"/>
      </w:pPr>
      <w:r w:rsidDel="00000000" w:rsidR="00000000" w:rsidRPr="00000000">
        <w:rPr>
          <w:rtl w:val="0"/>
        </w:rPr>
        <w:t xml:space="preserve">Experimental: answerable with data and evidence</w:t>
      </w:r>
    </w:p>
    <w:p w:rsidR="00000000" w:rsidDel="00000000" w:rsidP="00000000" w:rsidRDefault="00000000" w:rsidRPr="00000000" w14:paraId="00000023">
      <w:pPr>
        <w:numPr>
          <w:ilvl w:val="0"/>
          <w:numId w:val="5"/>
        </w:numPr>
        <w:ind w:left="720" w:hanging="360"/>
      </w:pPr>
      <w:r w:rsidDel="00000000" w:rsidR="00000000" w:rsidRPr="00000000">
        <w:rPr>
          <w:rtl w:val="0"/>
        </w:rPr>
        <w:t xml:space="preserve">Feasible: Answerable within your abilities and resources</w:t>
      </w:r>
    </w:p>
    <w:p w:rsidR="00000000" w:rsidDel="00000000" w:rsidP="00000000" w:rsidRDefault="00000000" w:rsidRPr="00000000" w14:paraId="00000024">
      <w:pPr>
        <w:numPr>
          <w:ilvl w:val="0"/>
          <w:numId w:val="5"/>
        </w:numPr>
        <w:ind w:left="720" w:hanging="360"/>
      </w:pPr>
      <w:r w:rsidDel="00000000" w:rsidR="00000000" w:rsidRPr="00000000">
        <w:rPr>
          <w:rtl w:val="0"/>
        </w:rPr>
        <w:t xml:space="preserve">Focused and Generalizable: Specific to this experiment, yet will produce knowledge that is useful in other contexts</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rFonts w:ascii="Lato" w:cs="Lato" w:eastAsia="Lato" w:hAnsi="Lato"/>
          <w:color w:val="2d3b45"/>
          <w:highlight w:val="white"/>
        </w:rPr>
      </w:pPr>
      <w:r w:rsidDel="00000000" w:rsidR="00000000" w:rsidRPr="00000000">
        <w:rPr>
          <w:rFonts w:ascii="Lato" w:cs="Lato" w:eastAsia="Lato" w:hAnsi="Lato"/>
          <w:color w:val="2d3b45"/>
          <w:highlight w:val="white"/>
          <w:rtl w:val="0"/>
        </w:rPr>
        <w:t xml:space="preserve">Thinking back on your recent labs and referencing </w:t>
      </w:r>
      <w:hyperlink r:id="rId9">
        <w:r w:rsidDel="00000000" w:rsidR="00000000" w:rsidRPr="00000000">
          <w:rPr>
            <w:rFonts w:ascii="Lato" w:cs="Lato" w:eastAsia="Lato" w:hAnsi="Lato"/>
            <w:color w:val="1155cc"/>
            <w:highlight w:val="white"/>
            <w:u w:val="single"/>
            <w:rtl w:val="0"/>
          </w:rPr>
          <w:t xml:space="preserve">BPHYS Group roles.docx</w:t>
        </w:r>
      </w:hyperlink>
      <w:r w:rsidDel="00000000" w:rsidR="00000000" w:rsidRPr="00000000">
        <w:rPr>
          <w:rFonts w:ascii="Lato" w:cs="Lato" w:eastAsia="Lato" w:hAnsi="Lato"/>
          <w:color w:val="2d3b45"/>
          <w:highlight w:val="white"/>
          <w:rtl w:val="0"/>
        </w:rPr>
        <w:t xml:space="preserve">, what are some of the roles that you have played effectively in your group (intentionally or unintentionally)? In what ways were they effective? (50 words minimum.)</w:t>
      </w:r>
    </w:p>
    <w:p w:rsidR="00000000" w:rsidDel="00000000" w:rsidP="00000000" w:rsidRDefault="00000000" w:rsidRPr="00000000" w14:paraId="00000027">
      <w:pPr>
        <w:rPr>
          <w:rFonts w:ascii="Lato" w:cs="Lato" w:eastAsia="Lato" w:hAnsi="Lato"/>
          <w:color w:val="2d3b45"/>
          <w:highlight w:val="white"/>
        </w:rPr>
      </w:pPr>
      <w:r w:rsidDel="00000000" w:rsidR="00000000" w:rsidRPr="00000000">
        <w:rPr>
          <w:rFonts w:ascii="Lato" w:cs="Lato" w:eastAsia="Lato" w:hAnsi="Lato"/>
          <w:color w:val="2d3b45"/>
          <w:highlight w:val="white"/>
          <w:rtl w:val="0"/>
        </w:rPr>
        <w:t xml:space="preserve">Again referencing </w:t>
      </w:r>
      <w:hyperlink r:id="rId10">
        <w:r w:rsidDel="00000000" w:rsidR="00000000" w:rsidRPr="00000000">
          <w:rPr>
            <w:rFonts w:ascii="Lato" w:cs="Lato" w:eastAsia="Lato" w:hAnsi="Lato"/>
            <w:color w:val="1155cc"/>
            <w:highlight w:val="white"/>
            <w:u w:val="single"/>
            <w:rtl w:val="0"/>
          </w:rPr>
          <w:t xml:space="preserve">BPHYS Group roles.docx</w:t>
        </w:r>
      </w:hyperlink>
      <w:r w:rsidDel="00000000" w:rsidR="00000000" w:rsidRPr="00000000">
        <w:rPr>
          <w:rFonts w:ascii="Lato" w:cs="Lato" w:eastAsia="Lato" w:hAnsi="Lato"/>
          <w:color w:val="2d3b45"/>
          <w:highlight w:val="white"/>
          <w:rtl w:val="0"/>
        </w:rPr>
        <w:t xml:space="preserve">, what are some roles in which you would like to be more effective? Describe a plan to improve your own contribution to group work during the final labs. (50 words minimum.)</w:t>
      </w:r>
    </w:p>
    <w:p w:rsidR="00000000" w:rsidDel="00000000" w:rsidP="00000000" w:rsidRDefault="00000000" w:rsidRPr="00000000" w14:paraId="00000028">
      <w:pPr>
        <w:pStyle w:val="Heading1"/>
        <w:rPr/>
      </w:pPr>
      <w:bookmarkStart w:colFirst="0" w:colLast="0" w:name="_iw5sedgj4e3t" w:id="7"/>
      <w:bookmarkEnd w:id="7"/>
      <w:r w:rsidDel="00000000" w:rsidR="00000000" w:rsidRPr="00000000">
        <w:rPr>
          <w:rtl w:val="0"/>
        </w:rPr>
        <w:t xml:space="preserve">Pacing</w:t>
      </w:r>
    </w:p>
    <w:p w:rsidR="00000000" w:rsidDel="00000000" w:rsidP="00000000" w:rsidRDefault="00000000" w:rsidRPr="00000000" w14:paraId="00000029">
      <w:pPr>
        <w:rPr/>
      </w:pPr>
      <w:r w:rsidDel="00000000" w:rsidR="00000000" w:rsidRPr="00000000">
        <w:rPr>
          <w:rtl w:val="0"/>
        </w:rPr>
        <w:t xml:space="preserve">Students should complete this entire investigation in this two hour lab session.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(10 min) Introduction</w:t>
      </w:r>
    </w:p>
    <w:p w:rsidR="00000000" w:rsidDel="00000000" w:rsidP="00000000" w:rsidRDefault="00000000" w:rsidRPr="00000000" w14:paraId="0000002C">
      <w:pPr>
        <w:rPr/>
      </w:pPr>
      <w:r w:rsidDel="00000000" w:rsidR="00000000" w:rsidRPr="00000000">
        <w:rPr>
          <w:rtl w:val="0"/>
        </w:rPr>
        <w:t xml:space="preserve">(30 min) Pilot experiment and rough analysis</w:t>
      </w:r>
    </w:p>
    <w:p w:rsidR="00000000" w:rsidDel="00000000" w:rsidP="00000000" w:rsidRDefault="00000000" w:rsidRPr="00000000" w14:paraId="0000002D">
      <w:pPr>
        <w:rPr/>
      </w:pPr>
      <w:r w:rsidDel="00000000" w:rsidR="00000000" w:rsidRPr="00000000">
        <w:rPr>
          <w:rtl w:val="0"/>
        </w:rPr>
        <w:t xml:space="preserve">(30 min) Improved experiment / extended data collection</w:t>
      </w:r>
    </w:p>
    <w:p w:rsidR="00000000" w:rsidDel="00000000" w:rsidP="00000000" w:rsidRDefault="00000000" w:rsidRPr="00000000" w14:paraId="0000002E">
      <w:pPr>
        <w:rPr/>
      </w:pPr>
      <w:r w:rsidDel="00000000" w:rsidR="00000000" w:rsidRPr="00000000">
        <w:rPr>
          <w:rtl w:val="0"/>
        </w:rPr>
        <w:t xml:space="preserve">(30 min) Analysis</w:t>
      </w:r>
    </w:p>
    <w:p w:rsidR="00000000" w:rsidDel="00000000" w:rsidP="00000000" w:rsidRDefault="00000000" w:rsidRPr="00000000" w14:paraId="0000002F">
      <w:pPr>
        <w:rPr/>
      </w:pPr>
      <w:r w:rsidDel="00000000" w:rsidR="00000000" w:rsidRPr="00000000">
        <w:rPr>
          <w:rtl w:val="0"/>
        </w:rPr>
        <w:t xml:space="preserve">(20 min) Results and conclusions</w:t>
      </w:r>
    </w:p>
    <w:p w:rsidR="00000000" w:rsidDel="00000000" w:rsidP="00000000" w:rsidRDefault="00000000" w:rsidRPr="00000000" w14:paraId="00000030">
      <w:pPr>
        <w:pStyle w:val="Heading1"/>
        <w:rPr/>
      </w:pPr>
      <w:bookmarkStart w:colFirst="0" w:colLast="0" w:name="_7pwpexkwpvpk" w:id="8"/>
      <w:bookmarkEnd w:id="8"/>
      <w:r w:rsidDel="00000000" w:rsidR="00000000" w:rsidRPr="00000000">
        <w:rPr>
          <w:rtl w:val="0"/>
        </w:rPr>
        <w:t xml:space="preserve">Facilitation notes</w:t>
      </w:r>
    </w:p>
    <w:p w:rsidR="00000000" w:rsidDel="00000000" w:rsidP="00000000" w:rsidRDefault="00000000" w:rsidRPr="00000000" w14:paraId="00000031">
      <w:pPr>
        <w:numPr>
          <w:ilvl w:val="0"/>
          <w:numId w:val="4"/>
        </w:numPr>
        <w:ind w:left="720" w:hanging="360"/>
        <w:rPr>
          <w:u w:val="none"/>
        </w:rPr>
      </w:pPr>
      <w:r w:rsidDel="00000000" w:rsidR="00000000" w:rsidRPr="00000000">
        <w:rPr>
          <w:rtl w:val="0"/>
        </w:rPr>
        <w:t xml:space="preserve">Tubes are great. Thumping them on the carpeted floor is particularly good. </w:t>
      </w:r>
    </w:p>
    <w:p w:rsidR="00000000" w:rsidDel="00000000" w:rsidP="00000000" w:rsidRDefault="00000000" w:rsidRPr="00000000" w14:paraId="00000032">
      <w:pPr>
        <w:numPr>
          <w:ilvl w:val="0"/>
          <w:numId w:val="2"/>
        </w:numPr>
        <w:ind w:left="720" w:hanging="360"/>
        <w:rPr>
          <w:u w:val="none"/>
        </w:rPr>
      </w:pPr>
      <w:r w:rsidDel="00000000" w:rsidR="00000000" w:rsidRPr="00000000">
        <w:rPr>
          <w:rtl w:val="0"/>
        </w:rPr>
        <w:t xml:space="preserve">Advise students to keep track of the SAME frequency peak in different trials: sometimes a different frequency has the biggest peak for different lengths (the highest peak was the fundamental for one tube length but for another tube length, the highest peak is the first harmonic). </w:t>
      </w:r>
    </w:p>
    <w:p w:rsidR="00000000" w:rsidDel="00000000" w:rsidP="00000000" w:rsidRDefault="00000000" w:rsidRPr="00000000" w14:paraId="00000033">
      <w:pPr>
        <w:numPr>
          <w:ilvl w:val="0"/>
          <w:numId w:val="2"/>
        </w:numPr>
        <w:ind w:left="720" w:hanging="360"/>
        <w:rPr>
          <w:u w:val="none"/>
        </w:rPr>
      </w:pPr>
      <w:hyperlink r:id="rId11">
        <w:r w:rsidDel="00000000" w:rsidR="00000000" w:rsidRPr="00000000">
          <w:rPr>
            <w:color w:val="1155cc"/>
            <w:u w:val="single"/>
            <w:rtl w:val="0"/>
          </w:rPr>
          <w:t xml:space="preserve">On the acoustics of tuning forks | American Journal of Physics | AIP Publishing</w:t>
        </w:r>
      </w:hyperlink>
      <w:r w:rsidDel="00000000" w:rsidR="00000000" w:rsidRPr="00000000">
        <w:rPr>
          <w:rtl w:val="0"/>
        </w:rPr>
      </w:r>
    </w:p>
    <w:p w:rsidR="00000000" w:rsidDel="00000000" w:rsidP="00000000" w:rsidRDefault="00000000" w:rsidRPr="00000000" w14:paraId="00000034">
      <w:pPr>
        <w:pStyle w:val="Heading1"/>
        <w:rPr/>
      </w:pPr>
      <w:bookmarkStart w:colFirst="0" w:colLast="0" w:name="_eu2tozqvxdfw" w:id="9"/>
      <w:bookmarkEnd w:id="9"/>
      <w:r w:rsidDel="00000000" w:rsidR="00000000" w:rsidRPr="00000000">
        <w:rPr>
          <w:rtl w:val="0"/>
        </w:rPr>
        <w:t xml:space="preserve">Makeup option</w:t>
      </w:r>
    </w:p>
    <w:p w:rsidR="00000000" w:rsidDel="00000000" w:rsidP="00000000" w:rsidRDefault="00000000" w:rsidRPr="00000000" w14:paraId="00000035">
      <w:pPr>
        <w:rPr/>
      </w:pPr>
      <w:r w:rsidDel="00000000" w:rsidR="00000000" w:rsidRPr="00000000">
        <w:rPr>
          <w:rtl w:val="0"/>
        </w:rPr>
        <w:t xml:space="preserve">Students who miss the lab this week can be given data from one or more of the lab groups to analyze.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at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pubs.aip.org/aapt/ajp/article/60/7/620/1041228/On-the-acoustics-of-tuning-forks" TargetMode="External"/><Relationship Id="rId10" Type="http://schemas.openxmlformats.org/officeDocument/2006/relationships/hyperlink" Target="https://canvas.uw.edu/courses/1735579/files/118274818?wrap=1" TargetMode="External"/><Relationship Id="rId9" Type="http://schemas.openxmlformats.org/officeDocument/2006/relationships/hyperlink" Target="https://canvas.uw.edu/courses/1735579/files/118274818?wrap=1" TargetMode="External"/><Relationship Id="rId5" Type="http://schemas.openxmlformats.org/officeDocument/2006/relationships/styles" Target="styles.xml"/><Relationship Id="rId6" Type="http://schemas.openxmlformats.org/officeDocument/2006/relationships/hyperlink" Target="https://docs.google.com/presentation/d/1Bt9-onaErBMtFb6wPytA9MfRbg3RQsIOckOLBzfxirU/edit?slide=id.g11f19e5516a_0_0#slide=id.g11f19e5516a_0_0" TargetMode="External"/><Relationship Id="rId7" Type="http://schemas.openxmlformats.org/officeDocument/2006/relationships/hyperlink" Target="https://docs.google.com/document/d/1ugEslxPa0teP0_kuXk1ANMs0tj2pk3aNKAY-zAoNDmQ/edit?pli=1&amp;tab=t.0" TargetMode="External"/><Relationship Id="rId8" Type="http://schemas.openxmlformats.org/officeDocument/2006/relationships/hyperlink" Target="https://www.vernier.com/files/manuals/mca-bta/mca-bta.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Lato-regular.ttf"/><Relationship Id="rId6" Type="http://schemas.openxmlformats.org/officeDocument/2006/relationships/font" Target="fonts/Lato-bold.ttf"/><Relationship Id="rId7" Type="http://schemas.openxmlformats.org/officeDocument/2006/relationships/font" Target="fonts/Lato-italic.ttf"/><Relationship Id="rId8"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